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2"/>
        <w:rPr>
          <w:rFonts w:ascii="Times New Roman"/>
        </w:rPr>
      </w:pPr>
    </w:p>
    <w:p>
      <w:pPr>
        <w:pStyle w:val="Heading1"/>
        <w:spacing w:line="266" w:lineRule="auto"/>
        <w:ind w:right="2872"/>
      </w:pPr>
      <w:r>
        <w:rPr/>
        <w:t>Reporte de solicitudes de protección de información </w:t>
      </w:r>
      <w:r>
        <w:rPr/>
        <w:t>confidencial Folio / Periodo: P26-1340 / Septiembre 2026</w:t>
      </w:r>
    </w:p>
    <w:p>
      <w:pPr>
        <w:pStyle w:val="BodyText"/>
        <w:spacing w:line="264" w:lineRule="auto"/>
        <w:ind w:left="142"/>
      </w:pPr>
      <w:r>
        <w:rPr>
          <w:rFonts w:ascii="Arial"/>
          <w:b/>
        </w:rPr>
        <w:t>Sujeto obligado: </w:t>
      </w:r>
      <w:r>
        <w:rPr/>
        <w:t>Sistema Administrativo Municipal de Agua Potable y Alcantarillado de Ixtlahuacan de los </w:t>
      </w:r>
      <w:r>
        <w:rPr>
          <w:spacing w:val="-2"/>
        </w:rPr>
        <w:t>Membrillos</w:t>
      </w:r>
    </w:p>
    <w:p>
      <w:pPr>
        <w:spacing w:before="2"/>
        <w:ind w:left="142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Fecha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z w:val="19"/>
        </w:rPr>
        <w:t>registro:</w:t>
      </w:r>
      <w:r>
        <w:rPr>
          <w:rFonts w:ascii="Arial"/>
          <w:b/>
          <w:spacing w:val="5"/>
          <w:sz w:val="19"/>
        </w:rPr>
        <w:t> </w:t>
      </w:r>
      <w:r>
        <w:rPr>
          <w:sz w:val="19"/>
        </w:rPr>
        <w:t>05</w:t>
      </w:r>
      <w:r>
        <w:rPr>
          <w:spacing w:val="4"/>
          <w:sz w:val="19"/>
        </w:rPr>
        <w:t> </w:t>
      </w:r>
      <w:r>
        <w:rPr>
          <w:sz w:val="19"/>
        </w:rPr>
        <w:t>Octubre</w:t>
      </w:r>
      <w:r>
        <w:rPr>
          <w:spacing w:val="4"/>
          <w:sz w:val="19"/>
        </w:rPr>
        <w:t> </w:t>
      </w:r>
      <w:r>
        <w:rPr>
          <w:sz w:val="19"/>
        </w:rPr>
        <w:t>de</w:t>
      </w:r>
      <w:r>
        <w:rPr>
          <w:spacing w:val="5"/>
          <w:sz w:val="19"/>
        </w:rPr>
        <w:t> </w:t>
      </w:r>
      <w:r>
        <w:rPr>
          <w:sz w:val="19"/>
        </w:rPr>
        <w:t>2026</w:t>
      </w:r>
      <w:r>
        <w:rPr>
          <w:spacing w:val="4"/>
          <w:sz w:val="19"/>
        </w:rPr>
        <w:t> </w:t>
      </w:r>
      <w:r>
        <w:rPr>
          <w:sz w:val="19"/>
        </w:rPr>
        <w:t>|</w:t>
      </w:r>
      <w:r>
        <w:rPr>
          <w:spacing w:val="4"/>
          <w:sz w:val="19"/>
        </w:rPr>
        <w:t> </w:t>
      </w:r>
      <w:r>
        <w:rPr>
          <w:rFonts w:ascii="Arial"/>
          <w:b/>
          <w:sz w:val="19"/>
        </w:rPr>
        <w:t>Hora:</w:t>
      </w:r>
      <w:r>
        <w:rPr>
          <w:rFonts w:ascii="Arial"/>
          <w:b/>
          <w:spacing w:val="5"/>
          <w:sz w:val="19"/>
        </w:rPr>
        <w:t> </w:t>
      </w:r>
      <w:r>
        <w:rPr>
          <w:sz w:val="19"/>
        </w:rPr>
        <w:t>10:31:24</w:t>
      </w:r>
      <w:r>
        <w:rPr>
          <w:spacing w:val="4"/>
          <w:sz w:val="19"/>
        </w:rPr>
        <w:t> </w:t>
      </w:r>
      <w:r>
        <w:rPr>
          <w:spacing w:val="-5"/>
          <w:sz w:val="19"/>
        </w:rPr>
        <w:t>hrs</w:t>
      </w:r>
    </w:p>
    <w:p>
      <w:pPr>
        <w:spacing w:before="24"/>
        <w:ind w:left="142" w:right="0" w:firstLine="0"/>
        <w:jc w:val="left"/>
        <w:rPr>
          <w:sz w:val="19"/>
        </w:rPr>
      </w:pPr>
      <w:r>
        <w:rPr>
          <w:rFonts w:ascii="Arial" w:hAnsi="Arial"/>
          <w:b/>
          <w:sz w:val="19"/>
        </w:rPr>
        <w:t>Tipo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entrega:</w:t>
      </w:r>
      <w:r>
        <w:rPr>
          <w:rFonts w:ascii="Arial" w:hAnsi="Arial"/>
          <w:b/>
          <w:spacing w:val="4"/>
          <w:sz w:val="19"/>
        </w:rPr>
        <w:t> </w:t>
      </w:r>
      <w:r>
        <w:rPr>
          <w:spacing w:val="-2"/>
          <w:sz w:val="19"/>
        </w:rPr>
        <w:t>Electrónica</w:t>
      </w:r>
    </w:p>
    <w:p>
      <w:pPr>
        <w:spacing w:before="25"/>
        <w:ind w:left="142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Usuario:</w:t>
      </w:r>
      <w:r>
        <w:rPr>
          <w:rFonts w:ascii="Arial"/>
          <w:b/>
          <w:spacing w:val="4"/>
          <w:sz w:val="19"/>
        </w:rPr>
        <w:t> </w:t>
      </w:r>
      <w:r>
        <w:rPr>
          <w:sz w:val="19"/>
        </w:rPr>
        <w:t>ID</w:t>
      </w:r>
      <w:r>
        <w:rPr>
          <w:spacing w:val="5"/>
          <w:sz w:val="19"/>
        </w:rPr>
        <w:t> </w:t>
      </w:r>
      <w:r>
        <w:rPr>
          <w:spacing w:val="-4"/>
          <w:sz w:val="19"/>
        </w:rPr>
        <w:t>1750</w:t>
      </w:r>
    </w:p>
    <w:p>
      <w:pPr>
        <w:pStyle w:val="BodyText"/>
        <w:spacing w:before="13" w:after="1"/>
        <w:rPr>
          <w:sz w:val="20"/>
        </w:rPr>
      </w:pPr>
    </w:p>
    <w:tbl>
      <w:tblPr>
        <w:tblW w:w="0" w:type="auto"/>
        <w:jc w:val="left"/>
        <w:tblInd w:w="154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4"/>
        <w:gridCol w:w="907"/>
      </w:tblGrid>
      <w:tr>
        <w:trPr>
          <w:trHeight w:val="283" w:hRule="atLeast"/>
        </w:trPr>
        <w:tc>
          <w:tcPr>
            <w:tcW w:w="9071" w:type="dxa"/>
            <w:gridSpan w:val="2"/>
            <w:shd w:val="clear" w:color="auto" w:fill="BCBCBC"/>
          </w:tcPr>
          <w:p>
            <w:pPr>
              <w:pStyle w:val="TableParagraph"/>
              <w:spacing w:before="34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I.</w:t>
            </w:r>
            <w:r>
              <w:rPr>
                <w:rFonts w:ascii="Arial"/>
                <w:b/>
                <w:spacing w:val="2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Tipo</w:t>
            </w:r>
            <w:r>
              <w:rPr>
                <w:rFonts w:ascii="Arial"/>
                <w:b/>
                <w:spacing w:val="2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solicitud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1.1.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Acceso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1.2.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Clasificación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1.3.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Rectificación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Corrección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1.4.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Oposición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1.5.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Modificación,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sustitución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o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ampliación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1.6.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Cancelación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II.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Medio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presentación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2.1.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Física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2.2.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Electrónica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2.3.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Comparecencia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III.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Sentido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la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solicitud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3.1.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Procedente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3.2.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Procedente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parcialmente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3.3.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Improcedente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IV.</w:t>
            </w:r>
            <w:r>
              <w:rPr>
                <w:rFonts w:ascii="Arial"/>
                <w:b/>
                <w:spacing w:val="2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Respuesta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4.1.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Dentro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término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4.2.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Ampliación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</w:tbl>
    <w:p>
      <w:pPr>
        <w:pStyle w:val="TableParagraph"/>
        <w:spacing w:after="0"/>
        <w:jc w:val="center"/>
        <w:rPr>
          <w:rFonts w:ascii="Arial"/>
          <w:b/>
          <w:sz w:val="19"/>
        </w:rPr>
        <w:sectPr>
          <w:headerReference w:type="default" r:id="rId5"/>
          <w:type w:val="continuous"/>
          <w:pgSz w:w="11910" w:h="16840"/>
          <w:pgMar w:header="413" w:footer="0" w:top="1900" w:bottom="280" w:left="1275" w:right="1275"/>
          <w:pgNumType w:start="1"/>
        </w:sectPr>
      </w:pPr>
    </w:p>
    <w:p>
      <w:pPr>
        <w:pStyle w:val="BodyText"/>
        <w:spacing w:before="192"/>
      </w:pPr>
    </w:p>
    <w:p>
      <w:pPr>
        <w:pStyle w:val="Heading1"/>
        <w:spacing w:line="266" w:lineRule="auto"/>
        <w:ind w:right="5316"/>
      </w:pPr>
      <w:r>
        <w:rPr/>
        <w:t>Reporte de solicitudes de información Folio / Periodo: I26-1757 / Septiembre </w:t>
      </w:r>
      <w:r>
        <w:rPr/>
        <w:t>2026</w:t>
      </w:r>
    </w:p>
    <w:p>
      <w:pPr>
        <w:pStyle w:val="BodyText"/>
        <w:spacing w:line="264" w:lineRule="auto"/>
        <w:ind w:left="142"/>
      </w:pPr>
      <w:r>
        <w:rPr>
          <w:rFonts w:ascii="Arial"/>
          <w:b/>
        </w:rPr>
        <w:t>Sujeto obligado: </w:t>
      </w:r>
      <w:r>
        <w:rPr/>
        <w:t>Sistema Administrativo Municipal de Agua Potable y Alcantarillado de Ixtlahuacan de los </w:t>
      </w:r>
      <w:r>
        <w:rPr>
          <w:spacing w:val="-2"/>
        </w:rPr>
        <w:t>Membrillos</w:t>
      </w:r>
    </w:p>
    <w:p>
      <w:pPr>
        <w:spacing w:before="2"/>
        <w:ind w:left="142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Fecha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z w:val="19"/>
        </w:rPr>
        <w:t>registro:</w:t>
      </w:r>
      <w:r>
        <w:rPr>
          <w:rFonts w:ascii="Arial"/>
          <w:b/>
          <w:spacing w:val="5"/>
          <w:sz w:val="19"/>
        </w:rPr>
        <w:t> </w:t>
      </w:r>
      <w:r>
        <w:rPr>
          <w:sz w:val="19"/>
        </w:rPr>
        <w:t>05</w:t>
      </w:r>
      <w:r>
        <w:rPr>
          <w:spacing w:val="4"/>
          <w:sz w:val="19"/>
        </w:rPr>
        <w:t> </w:t>
      </w:r>
      <w:r>
        <w:rPr>
          <w:sz w:val="19"/>
        </w:rPr>
        <w:t>Octubre</w:t>
      </w:r>
      <w:r>
        <w:rPr>
          <w:spacing w:val="4"/>
          <w:sz w:val="19"/>
        </w:rPr>
        <w:t> </w:t>
      </w:r>
      <w:r>
        <w:rPr>
          <w:sz w:val="19"/>
        </w:rPr>
        <w:t>de</w:t>
      </w:r>
      <w:r>
        <w:rPr>
          <w:spacing w:val="5"/>
          <w:sz w:val="19"/>
        </w:rPr>
        <w:t> </w:t>
      </w:r>
      <w:r>
        <w:rPr>
          <w:sz w:val="19"/>
        </w:rPr>
        <w:t>2026</w:t>
      </w:r>
      <w:r>
        <w:rPr>
          <w:spacing w:val="4"/>
          <w:sz w:val="19"/>
        </w:rPr>
        <w:t> </w:t>
      </w:r>
      <w:r>
        <w:rPr>
          <w:sz w:val="19"/>
        </w:rPr>
        <w:t>|</w:t>
      </w:r>
      <w:r>
        <w:rPr>
          <w:spacing w:val="4"/>
          <w:sz w:val="19"/>
        </w:rPr>
        <w:t> </w:t>
      </w:r>
      <w:r>
        <w:rPr>
          <w:rFonts w:ascii="Arial"/>
          <w:b/>
          <w:sz w:val="19"/>
        </w:rPr>
        <w:t>Hora:</w:t>
      </w:r>
      <w:r>
        <w:rPr>
          <w:rFonts w:ascii="Arial"/>
          <w:b/>
          <w:spacing w:val="5"/>
          <w:sz w:val="19"/>
        </w:rPr>
        <w:t> </w:t>
      </w:r>
      <w:r>
        <w:rPr>
          <w:sz w:val="19"/>
        </w:rPr>
        <w:t>10:31:05</w:t>
      </w:r>
      <w:r>
        <w:rPr>
          <w:spacing w:val="4"/>
          <w:sz w:val="19"/>
        </w:rPr>
        <w:t> </w:t>
      </w:r>
      <w:r>
        <w:rPr>
          <w:spacing w:val="-5"/>
          <w:sz w:val="19"/>
        </w:rPr>
        <w:t>hrs</w:t>
      </w:r>
    </w:p>
    <w:p>
      <w:pPr>
        <w:spacing w:before="24"/>
        <w:ind w:left="142" w:right="0" w:firstLine="0"/>
        <w:jc w:val="left"/>
        <w:rPr>
          <w:sz w:val="19"/>
        </w:rPr>
      </w:pPr>
      <w:r>
        <w:rPr>
          <w:rFonts w:ascii="Arial" w:hAnsi="Arial"/>
          <w:b/>
          <w:sz w:val="19"/>
        </w:rPr>
        <w:t>Tipo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entrega:</w:t>
      </w:r>
      <w:r>
        <w:rPr>
          <w:rFonts w:ascii="Arial" w:hAnsi="Arial"/>
          <w:b/>
          <w:spacing w:val="4"/>
          <w:sz w:val="19"/>
        </w:rPr>
        <w:t> </w:t>
      </w:r>
      <w:r>
        <w:rPr>
          <w:spacing w:val="-2"/>
          <w:sz w:val="19"/>
        </w:rPr>
        <w:t>Electrónica</w:t>
      </w:r>
    </w:p>
    <w:p>
      <w:pPr>
        <w:spacing w:before="25"/>
        <w:ind w:left="142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Usuario:</w:t>
      </w:r>
      <w:r>
        <w:rPr>
          <w:rFonts w:ascii="Arial"/>
          <w:b/>
          <w:spacing w:val="4"/>
          <w:sz w:val="19"/>
        </w:rPr>
        <w:t> </w:t>
      </w:r>
      <w:r>
        <w:rPr>
          <w:sz w:val="19"/>
        </w:rPr>
        <w:t>ID</w:t>
      </w:r>
      <w:r>
        <w:rPr>
          <w:spacing w:val="5"/>
          <w:sz w:val="19"/>
        </w:rPr>
        <w:t> </w:t>
      </w:r>
      <w:r>
        <w:rPr>
          <w:spacing w:val="-4"/>
          <w:sz w:val="19"/>
        </w:rPr>
        <w:t>1750</w:t>
      </w:r>
    </w:p>
    <w:p>
      <w:pPr>
        <w:pStyle w:val="BodyText"/>
        <w:spacing w:before="13" w:after="1"/>
        <w:rPr>
          <w:sz w:val="20"/>
        </w:rPr>
      </w:pPr>
    </w:p>
    <w:tbl>
      <w:tblPr>
        <w:tblW w:w="0" w:type="auto"/>
        <w:jc w:val="left"/>
        <w:tblInd w:w="154" w:type="dxa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4"/>
        <w:gridCol w:w="907"/>
      </w:tblGrid>
      <w:tr>
        <w:trPr>
          <w:trHeight w:val="283" w:hRule="atLeast"/>
        </w:trPr>
        <w:tc>
          <w:tcPr>
            <w:tcW w:w="9071" w:type="dxa"/>
            <w:gridSpan w:val="2"/>
            <w:shd w:val="clear" w:color="auto" w:fill="BCBCBC"/>
          </w:tcPr>
          <w:p>
            <w:pPr>
              <w:pStyle w:val="TableParagraph"/>
              <w:spacing w:before="34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I.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Solicitudes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información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recibidas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en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este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pacing w:val="-5"/>
                <w:sz w:val="19"/>
              </w:rPr>
              <w:t>mes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1.1.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Medio</w:t>
            </w:r>
            <w:r>
              <w:rPr>
                <w:rFonts w:ascii="Arial" w:hAnsi="Arial"/>
                <w:b/>
                <w:spacing w:val="4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presentación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1.1.1.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Física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1.1.2.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Vía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Infomex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5"/>
                <w:sz w:val="19"/>
              </w:rPr>
              <w:t>PNT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1.1.3.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Vía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electrónica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distinta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Infomex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5"/>
                <w:sz w:val="19"/>
              </w:rPr>
              <w:t>PNT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309" w:hRule="atLeast"/>
        </w:trPr>
        <w:tc>
          <w:tcPr>
            <w:tcW w:w="8164" w:type="dxa"/>
            <w:tcBorders>
              <w:top w:val="single" w:sz="2" w:space="0" w:color="DDDDDD"/>
              <w:bottom w:val="nil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solicitudes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recibidas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este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pacing w:val="-5"/>
                <w:sz w:val="19"/>
              </w:rPr>
              <w:t>mes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nil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F2F2F2"/>
          </w:tcPr>
          <w:p>
            <w:pPr>
              <w:pStyle w:val="TableParagraph"/>
              <w:spacing w:before="36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1.2.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Incompetencias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1.2.1.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Solicitudes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derivadas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incompetencia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Total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solicitudes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información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para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resolución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II.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Solicitudes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información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resueltas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en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este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pacing w:val="-5"/>
                <w:sz w:val="19"/>
              </w:rPr>
              <w:t>mes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2.1.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Afirmativa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(Procedente)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spacing w:before="34"/>
              <w:ind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2.2.</w:t>
            </w:r>
            <w:r>
              <w:rPr>
                <w:rFonts w:ascii="Arial"/>
                <w:b/>
                <w:spacing w:val="7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Afirmativa</w:t>
            </w:r>
            <w:r>
              <w:rPr>
                <w:rFonts w:ascii="Arial"/>
                <w:b/>
                <w:spacing w:val="7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parcial</w:t>
            </w:r>
            <w:r>
              <w:rPr>
                <w:rFonts w:ascii="Arial"/>
                <w:b/>
                <w:spacing w:val="8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(Procedente</w:t>
            </w:r>
            <w:r>
              <w:rPr>
                <w:rFonts w:ascii="Arial"/>
                <w:b/>
                <w:spacing w:val="7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parcial)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2.2.1.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tratarse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información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reservada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2.2.2.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tratarse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información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confidencial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2.2.3.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inexistencia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2.3.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Negativa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(Improcedente)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2.3.1.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tratarse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información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reservada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2.3.2.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tratarse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información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confidencial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2.3.3.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inexistencia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2.3.4.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Rechazada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por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no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cumplir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con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los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requisitos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5"/>
                <w:sz w:val="19"/>
              </w:rPr>
              <w:t>ley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2.3.5.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Es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ajena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al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ejercicio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del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derecho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acceso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la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información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solicitudes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resueltas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este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pacing w:val="-5"/>
                <w:sz w:val="19"/>
              </w:rPr>
              <w:t>mes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III.</w:t>
            </w:r>
            <w:r>
              <w:rPr>
                <w:rFonts w:ascii="Arial" w:hAnsi="Arial"/>
                <w:b/>
                <w:spacing w:val="4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Tipo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información</w:t>
            </w:r>
            <w:r>
              <w:rPr>
                <w:rFonts w:ascii="Arial" w:hAnsi="Arial"/>
                <w:b/>
                <w:spacing w:val="5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solicitada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3.1.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Libre</w:t>
            </w:r>
            <w:r>
              <w:rPr>
                <w:rFonts w:ascii="Arial"/>
                <w:b/>
                <w:spacing w:val="4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acceso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3.1.1.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Fundamental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3.1.2.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Ordinaria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shd w:val="clear" w:color="auto" w:fill="F2F2F2"/>
          </w:tcPr>
          <w:p>
            <w:pPr>
              <w:pStyle w:val="TableParagraph"/>
              <w:spacing w:before="34"/>
              <w:ind w:left="29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3.2.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Protegida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3.2.1.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Reservada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563"/>
              <w:rPr>
                <w:sz w:val="19"/>
              </w:rPr>
            </w:pPr>
            <w:r>
              <w:rPr>
                <w:sz w:val="19"/>
              </w:rPr>
              <w:t>3.2.2.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Confidencial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9071" w:type="dxa"/>
            <w:gridSpan w:val="2"/>
            <w:tcBorders>
              <w:top w:val="nil"/>
            </w:tcBorders>
            <w:shd w:val="clear" w:color="auto" w:fill="BCBCBC"/>
          </w:tcPr>
          <w:p>
            <w:pPr>
              <w:pStyle w:val="TableParagraph"/>
              <w:spacing w:before="33"/>
              <w:ind w:left="83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IV.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Medios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4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acceso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a</w:t>
            </w:r>
            <w:r>
              <w:rPr>
                <w:rFonts w:ascii="Arial" w:hAnsi="Arial"/>
                <w:b/>
                <w:spacing w:val="3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la</w:t>
            </w:r>
            <w:r>
              <w:rPr>
                <w:rFonts w:ascii="Arial" w:hAnsi="Arial"/>
                <w:b/>
                <w:spacing w:val="4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información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4.1.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Consulta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directa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personal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4.2.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Consulta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directa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electrónica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4.3.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Reproducción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documentos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83" w:hRule="atLeast"/>
        </w:trPr>
        <w:tc>
          <w:tcPr>
            <w:tcW w:w="8164" w:type="dxa"/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4.4.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Elaboración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informes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específicos</w:t>
            </w:r>
          </w:p>
        </w:tc>
        <w:tc>
          <w:tcPr>
            <w:tcW w:w="907" w:type="dxa"/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8164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left="296"/>
              <w:rPr>
                <w:sz w:val="19"/>
              </w:rPr>
            </w:pPr>
            <w:r>
              <w:rPr>
                <w:sz w:val="19"/>
              </w:rPr>
              <w:t>4.5.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Combinación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las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anteriores</w:t>
            </w:r>
          </w:p>
        </w:tc>
        <w:tc>
          <w:tcPr>
            <w:tcW w:w="907" w:type="dxa"/>
            <w:tcBorders>
              <w:bottom w:val="single" w:sz="2" w:space="0" w:color="DDDDDD"/>
            </w:tcBorders>
            <w:shd w:val="clear" w:color="auto" w:fill="F2F2F2"/>
          </w:tcPr>
          <w:p>
            <w:pPr>
              <w:pStyle w:val="TableParagraph"/>
              <w:ind w:right="1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8164" w:type="dxa"/>
            <w:tcBorders>
              <w:top w:val="single" w:sz="2" w:space="0" w:color="DDDDDD"/>
              <w:bottom w:val="single" w:sz="2" w:space="0" w:color="DDDDDD"/>
              <w:right w:val="nil"/>
            </w:tcBorders>
            <w:shd w:val="clear" w:color="auto" w:fill="D8D8D8"/>
          </w:tcPr>
          <w:p>
            <w:pPr>
              <w:pStyle w:val="TableParagraph"/>
              <w:spacing w:before="41"/>
              <w:ind w:lef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907" w:type="dxa"/>
            <w:tcBorders>
              <w:top w:val="single" w:sz="2" w:space="0" w:color="DDDDDD"/>
              <w:left w:val="nil"/>
              <w:bottom w:val="single" w:sz="2" w:space="0" w:color="DDDDDD"/>
            </w:tcBorders>
            <w:shd w:val="clear" w:color="auto" w:fill="D8D8D8"/>
          </w:tcPr>
          <w:p>
            <w:pPr>
              <w:pStyle w:val="TableParagraph"/>
              <w:spacing w:before="41"/>
              <w:ind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sz w:val="19"/>
              </w:rPr>
              <w:t>0</w:t>
            </w:r>
          </w:p>
        </w:tc>
      </w:tr>
    </w:tbl>
    <w:p>
      <w:pPr>
        <w:pStyle w:val="TableParagraph"/>
        <w:spacing w:after="0"/>
        <w:jc w:val="center"/>
        <w:rPr>
          <w:rFonts w:ascii="Arial"/>
          <w:b/>
          <w:sz w:val="19"/>
        </w:rPr>
        <w:sectPr>
          <w:pgSz w:w="11910" w:h="16840"/>
          <w:pgMar w:header="413" w:footer="0" w:top="1900" w:bottom="280" w:left="1275" w:right="1275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60085" cy="193040"/>
                <wp:effectExtent l="9525" t="0" r="2539" b="6985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760085" cy="193040"/>
                        </a:xfrm>
                        <a:prstGeom prst="rect">
                          <a:avLst/>
                        </a:prstGeom>
                        <a:solidFill>
                          <a:srgbClr val="BCBCBC"/>
                        </a:solidFill>
                        <a:ln w="10159">
                          <a:solidFill>
                            <a:srgbClr val="DDDDDD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6"/>
                              <w:ind w:left="77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IV.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Medios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acceso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información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53.55pt;height:15.2pt;mso-position-horizontal-relative:char;mso-position-vertical-relative:line" type="#_x0000_t202" id="docshape1" filled="true" fillcolor="#bcbcbc" stroked="true" strokeweight=".8pt" strokecolor="#dddddd">
                <w10:anchorlock/>
                <v:textbox inset="0,0,0,0">
                  <w:txbxContent>
                    <w:p>
                      <w:pPr>
                        <w:spacing w:before="36"/>
                        <w:ind w:left="77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IV.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Medios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acceso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sz w:val="19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19"/>
                        </w:rPr>
                        <w:t>información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"/>
          <w:pgSz w:w="11910" w:h="16840"/>
          <w:pgMar w:header="0" w:footer="0" w:top="540" w:bottom="280" w:left="1275" w:right="1275"/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06327" cy="206835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327" cy="206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1079500</wp:posOffset>
            </wp:positionH>
            <wp:positionV relativeFrom="paragraph">
              <wp:posOffset>120650</wp:posOffset>
            </wp:positionV>
            <wp:extent cx="5553577" cy="1908619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577" cy="1908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1079500</wp:posOffset>
            </wp:positionH>
            <wp:positionV relativeFrom="paragraph">
              <wp:posOffset>2236267</wp:posOffset>
            </wp:positionV>
            <wp:extent cx="4926739" cy="290779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6739" cy="2907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2"/>
        <w:rPr>
          <w:sz w:val="20"/>
        </w:rPr>
      </w:pPr>
    </w:p>
    <w:sectPr>
      <w:headerReference w:type="default" r:id="rId7"/>
      <w:pgSz w:w="12240" w:h="15840"/>
      <w:pgMar w:header="0" w:footer="0" w:top="1420" w:bottom="280" w:left="1559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0720">
          <wp:simplePos x="0" y="0"/>
          <wp:positionH relativeFrom="page">
            <wp:posOffset>869236</wp:posOffset>
          </wp:positionH>
          <wp:positionV relativeFrom="page">
            <wp:posOffset>414962</wp:posOffset>
          </wp:positionV>
          <wp:extent cx="1429527" cy="79694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9527" cy="796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91232">
          <wp:simplePos x="0" y="0"/>
          <wp:positionH relativeFrom="page">
            <wp:posOffset>4788448</wp:posOffset>
          </wp:positionH>
          <wp:positionV relativeFrom="page">
            <wp:posOffset>480000</wp:posOffset>
          </wp:positionV>
          <wp:extent cx="2208398" cy="40999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08398" cy="409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rial" w:hAnsi="Arial" w:eastAsia="Arial" w:cs="Arial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1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2026-10-05T16:08:09Z</dcterms:created>
  <dcterms:modified xsi:type="dcterms:W3CDTF">2026-10-05T16:08:09Z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iLovePDF</vt:lpwstr>
  </property>
</Properties>
</file>